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徐南管港变电所更换35KV六氟化硫断路器及熔断器项目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徐南管港变电所更换35KV六氟化硫断路器及熔断器项目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92"/>
        <w:gridCol w:w="3066"/>
        <w:gridCol w:w="803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pacing w:val="1"/>
              </w:rPr>
              <w:t>35</w:t>
            </w:r>
            <w:r>
              <w:t>KV</w:t>
            </w:r>
            <w:r>
              <w:rPr>
                <w:spacing w:val="1"/>
              </w:rPr>
              <w:t>六氟化硫断</w:t>
            </w:r>
            <w:r>
              <w:rPr>
                <w:spacing w:val="-3"/>
              </w:rPr>
              <w:t>路器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15"/>
              <w:spacing w:before="150" w:line="183" w:lineRule="auto"/>
              <w:jc w:val="left"/>
            </w:pPr>
            <w:r>
              <w:t>LW34-</w:t>
            </w:r>
            <w:r>
              <w:rPr>
                <w:spacing w:val="-1"/>
              </w:rPr>
              <w:t>40.5/1600-31.5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边置式</w:t>
            </w:r>
            <w:r>
              <w:t>LB</w:t>
            </w:r>
            <w:r>
              <w:rPr>
                <w:spacing w:val="8"/>
              </w:rPr>
              <w:t>-35,</w:t>
            </w:r>
            <w:r>
              <w:rPr>
                <w:spacing w:val="-2"/>
              </w:rPr>
              <w:t>200/5</w:t>
            </w:r>
          </w:p>
          <w:p>
            <w:pPr>
              <w:pStyle w:val="15"/>
              <w:spacing w:before="6" w:line="218" w:lineRule="auto"/>
              <w:ind w:right="35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pacing w:val="-2"/>
              </w:rPr>
              <w:t xml:space="preserve">0.2/0.5/10P20 </w:t>
            </w:r>
            <w:r>
              <w:t>30/40/30VA不含</w:t>
            </w:r>
            <w:r>
              <w:rPr>
                <w:spacing w:val="-3"/>
              </w:rPr>
              <w:t>支架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pacing w:val="1"/>
              </w:rPr>
              <w:t>35</w:t>
            </w:r>
            <w:r>
              <w:t>KV</w:t>
            </w:r>
            <w:r>
              <w:rPr>
                <w:spacing w:val="1"/>
              </w:rPr>
              <w:t>高压户外限</w:t>
            </w:r>
            <w:r>
              <w:rPr>
                <w:spacing w:val="-2"/>
              </w:rPr>
              <w:t>流熔断器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RW10-35,1A(含外壳及熔芯）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</w:t>
      </w:r>
      <w:bookmarkStart w:id="5" w:name="_GoBack"/>
      <w:bookmarkEnd w:id="5"/>
      <w:r>
        <w:rPr>
          <w:rFonts w:hint="eastAsia" w:ascii="宋体" w:hAnsi="宋体" w:cs="宋体"/>
          <w:sz w:val="24"/>
        </w:rPr>
        <w:t>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62400.00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人：伏先生              电话：13505135996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288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B22834"/>
    <w:rsid w:val="03100052"/>
    <w:rsid w:val="04F137BF"/>
    <w:rsid w:val="051A0D14"/>
    <w:rsid w:val="05F77E41"/>
    <w:rsid w:val="06007F0A"/>
    <w:rsid w:val="06A40336"/>
    <w:rsid w:val="08F9309E"/>
    <w:rsid w:val="093010E2"/>
    <w:rsid w:val="096669ED"/>
    <w:rsid w:val="0E5434E9"/>
    <w:rsid w:val="11875E02"/>
    <w:rsid w:val="124D39E5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4993154"/>
    <w:rsid w:val="3586192A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CAC7A71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DA62E9"/>
    <w:rsid w:val="74BB4445"/>
    <w:rsid w:val="77E67A2B"/>
    <w:rsid w:val="79D53E4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1</TotalTime>
  <ScaleCrop>false</ScaleCrop>
  <LinksUpToDate>false</LinksUpToDate>
  <CharactersWithSpaces>4537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2024-01-04T09:01:08Z</cp:lastPrinted>
  <dcterms:modified xsi:type="dcterms:W3CDTF">2024-01-04T09:02:31Z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